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="0" w:right="0"/>
        <w:jc w:val="center"/>
        <w:textAlignment w:val="auto"/>
        <w:rPr>
          <w:rFonts w:hint="default" w:ascii="方正小标宋_GBK" w:hAnsi="方正小标宋_GBK" w:eastAsia="方正小标宋_GBK" w:cs="方正小标宋_GBK"/>
          <w:b w:val="0"/>
          <w:bCs/>
          <w:i w:val="0"/>
          <w:spacing w:val="0"/>
          <w:sz w:val="44"/>
          <w:szCs w:val="44"/>
          <w:lang w:val="en-US"/>
        </w:rPr>
      </w:pPr>
      <w:bookmarkStart w:id="0" w:name="3939b248b6e244468e07c08509b6f459"/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="0" w:right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i w:val="0"/>
          <w:spacing w:val="0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i w:val="0"/>
          <w:spacing w:val="0"/>
          <w:sz w:val="44"/>
          <w:szCs w:val="44"/>
          <w:highlight w:val="none"/>
          <w:lang w:val="en-US" w:eastAsia="zh-CN"/>
        </w:rPr>
        <w:t>河南省</w:t>
      </w:r>
      <w:r>
        <w:rPr>
          <w:rFonts w:hint="eastAsia" w:ascii="方正小标宋_GBK" w:hAnsi="方正小标宋_GBK" w:eastAsia="方正小标宋_GBK" w:cs="方正小标宋_GBK"/>
          <w:b w:val="0"/>
          <w:bCs/>
          <w:i w:val="0"/>
          <w:spacing w:val="0"/>
          <w:sz w:val="44"/>
          <w:szCs w:val="44"/>
          <w:highlight w:val="none"/>
        </w:rPr>
        <w:t>科技创新平台</w:t>
      </w:r>
      <w:r>
        <w:rPr>
          <w:rFonts w:hint="eastAsia" w:ascii="方正小标宋_GBK" w:hAnsi="方正小标宋_GBK" w:eastAsia="方正小标宋_GBK" w:cs="方正小标宋_GBK"/>
          <w:b w:val="0"/>
          <w:bCs/>
          <w:i w:val="0"/>
          <w:spacing w:val="0"/>
          <w:sz w:val="44"/>
          <w:szCs w:val="44"/>
          <w:highlight w:val="none"/>
          <w:lang w:eastAsia="zh-CN"/>
        </w:rPr>
        <w:t>基地</w:t>
      </w:r>
      <w:r>
        <w:rPr>
          <w:rFonts w:hint="eastAsia" w:ascii="方正小标宋_GBK" w:hAnsi="方正小标宋_GBK" w:eastAsia="方正小标宋_GBK" w:cs="方正小标宋_GBK"/>
          <w:b w:val="0"/>
          <w:bCs/>
          <w:i w:val="0"/>
          <w:spacing w:val="0"/>
          <w:sz w:val="44"/>
          <w:szCs w:val="44"/>
          <w:highlight w:val="none"/>
        </w:rPr>
        <w:t>安全管理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="0" w:right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i w:val="0"/>
          <w:spacing w:val="0"/>
          <w:sz w:val="44"/>
          <w:szCs w:val="44"/>
          <w:highlight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i w:val="0"/>
          <w:spacing w:val="0"/>
          <w:sz w:val="44"/>
          <w:szCs w:val="44"/>
          <w:highlight w:val="none"/>
        </w:rPr>
        <w:t>工作指引</w:t>
      </w:r>
      <w:bookmarkEnd w:id="0"/>
      <w:r>
        <w:rPr>
          <w:rFonts w:hint="eastAsia" w:ascii="方正小标宋_GBK" w:hAnsi="方正小标宋_GBK" w:eastAsia="方正小标宋_GBK" w:cs="方正小标宋_GBK"/>
          <w:b w:val="0"/>
          <w:bCs/>
          <w:i w:val="0"/>
          <w:spacing w:val="0"/>
          <w:sz w:val="44"/>
          <w:szCs w:val="44"/>
          <w:highlight w:val="none"/>
          <w:lang w:eastAsia="zh-CN"/>
        </w:rPr>
        <w:t>（试行）</w:t>
      </w:r>
      <w:bookmarkStart w:id="1" w:name="5055698de3e84c6c95daa9f83e25da84"/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="0" w:right="0"/>
        <w:jc w:val="center"/>
        <w:textAlignment w:val="auto"/>
        <w:rPr>
          <w:rFonts w:hint="eastAsia" w:ascii="楷体" w:hAnsi="楷体" w:eastAsia="楷体" w:cs="楷体"/>
          <w:b w:val="0"/>
          <w:bCs/>
          <w:i w:val="0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楷体" w:hAnsi="楷体" w:eastAsia="楷体" w:cs="楷体"/>
          <w:b w:val="0"/>
          <w:bCs/>
          <w:i w:val="0"/>
          <w:spacing w:val="0"/>
          <w:sz w:val="32"/>
          <w:szCs w:val="32"/>
          <w:highlight w:val="none"/>
          <w:lang w:eastAsia="zh-CN"/>
        </w:rPr>
        <w:t>（征求意见稿）</w:t>
      </w:r>
      <w:bookmarkStart w:id="37" w:name="_GoBack"/>
      <w:bookmarkEnd w:id="37"/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="0" w:leftChars="0" w:right="0" w:firstLine="0" w:firstLineChars="0"/>
        <w:jc w:val="center"/>
        <w:textAlignment w:val="auto"/>
        <w:rPr>
          <w:rFonts w:hint="eastAsia" w:hAnsi="黑体" w:cs="黑体"/>
          <w:b w:val="0"/>
          <w:bCs/>
          <w:i w:val="0"/>
          <w:spacing w:val="0"/>
          <w:sz w:val="32"/>
          <w:szCs w:val="32"/>
          <w:lang w:eastAsia="zh-CN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="0" w:leftChars="0" w:right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hAnsi="黑体" w:cs="黑体"/>
          <w:b w:val="0"/>
          <w:bCs/>
          <w:i w:val="0"/>
          <w:spacing w:val="0"/>
          <w:sz w:val="32"/>
          <w:szCs w:val="32"/>
          <w:lang w:eastAsia="zh-CN"/>
        </w:rPr>
        <w:t>第一章</w:t>
      </w:r>
      <w:r>
        <w:rPr>
          <w:rFonts w:hint="eastAsia" w:hAnsi="黑体" w:cs="黑体"/>
          <w:b w:val="0"/>
          <w:bCs/>
          <w:i w:val="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/>
          <w:i w:val="0"/>
          <w:spacing w:val="0"/>
          <w:sz w:val="32"/>
          <w:szCs w:val="32"/>
        </w:rPr>
        <w:t>总</w:t>
      </w:r>
      <w:r>
        <w:rPr>
          <w:rFonts w:hint="eastAsia" w:hAnsi="黑体" w:cs="黑体"/>
          <w:b w:val="0"/>
          <w:bCs/>
          <w:i w:val="0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i w:val="0"/>
          <w:spacing w:val="0"/>
          <w:sz w:val="32"/>
          <w:szCs w:val="32"/>
        </w:rPr>
        <w:t>则</w:t>
      </w:r>
      <w:bookmarkEnd w:id="1"/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</w:pPr>
      <w:bookmarkStart w:id="2" w:name="13ca225e60184e5fb4a2da79dcf59f15"/>
      <w:r>
        <w:rPr>
          <w:rFonts w:hint="eastAsia" w:ascii="楷体" w:hAnsi="楷体" w:eastAsia="楷体" w:cs="楷体"/>
          <w:b w:val="0"/>
          <w:bCs/>
          <w:i w:val="0"/>
          <w:spacing w:val="0"/>
          <w:sz w:val="32"/>
          <w:szCs w:val="32"/>
          <w:lang w:val="en-US" w:eastAsia="zh-CN"/>
        </w:rPr>
        <w:t xml:space="preserve">第一条  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为贯彻落实《国务院安委会办公室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val="en-US" w:eastAsia="zh-CN"/>
        </w:rPr>
        <w:t xml:space="preserve"> 中央政法委 教育部 科技部 工业和信息化部 公安部 中国科学院关于加强实验室安全管理工作的通知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》要求，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规范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我省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科技创新平台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基地日常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安全管理，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健全安全管理长效机制，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防范和减少安全事故发生，保障科研人员生命安全和平台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基地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稳定运行，制定本指引。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</w:pPr>
      <w:r>
        <w:rPr>
          <w:rFonts w:hint="eastAsia" w:ascii="楷体" w:hAnsi="楷体" w:eastAsia="楷体" w:cs="楷体"/>
          <w:b w:val="0"/>
          <w:bCs/>
          <w:i w:val="0"/>
          <w:spacing w:val="0"/>
          <w:sz w:val="32"/>
          <w:szCs w:val="32"/>
          <w:lang w:val="en-US" w:eastAsia="zh-CN"/>
        </w:rPr>
        <w:t xml:space="preserve">第二条  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本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指引适用的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科技创新平台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基地包括省实验室、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重点实验室、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技术创新中心、临床医学研究中心、国际联合实验室、大学科技园、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中试基地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野外科学观测研究站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、工程技术研究中心等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。</w:t>
      </w:r>
      <w:bookmarkEnd w:id="2"/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="0" w:leftChars="0" w:right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bookmarkStart w:id="3" w:name="70388038dfe846c98fd3854661961b52"/>
      <w:r>
        <w:rPr>
          <w:rFonts w:hint="eastAsia" w:hAnsi="黑体" w:cs="黑体"/>
          <w:b w:val="0"/>
          <w:bCs/>
          <w:i w:val="0"/>
          <w:spacing w:val="0"/>
          <w:sz w:val="32"/>
          <w:szCs w:val="32"/>
          <w:lang w:eastAsia="zh-CN"/>
        </w:rPr>
        <w:t>第二章</w:t>
      </w:r>
      <w:r>
        <w:rPr>
          <w:rFonts w:hint="eastAsia" w:hAnsi="黑体" w:cs="黑体"/>
          <w:b w:val="0"/>
          <w:bCs/>
          <w:i w:val="0"/>
          <w:spacing w:val="0"/>
          <w:sz w:val="32"/>
          <w:szCs w:val="32"/>
          <w:lang w:val="en-US" w:eastAsia="zh-CN"/>
        </w:rPr>
        <w:t xml:space="preserve">  管理</w:t>
      </w:r>
      <w:r>
        <w:rPr>
          <w:rFonts w:hint="eastAsia" w:ascii="黑体" w:hAnsi="黑体" w:eastAsia="黑体" w:cs="黑体"/>
          <w:b w:val="0"/>
          <w:bCs/>
          <w:i w:val="0"/>
          <w:spacing w:val="0"/>
          <w:sz w:val="32"/>
          <w:szCs w:val="32"/>
        </w:rPr>
        <w:t>体系</w:t>
      </w:r>
      <w:bookmarkEnd w:id="3"/>
      <w:r>
        <w:rPr>
          <w:rFonts w:hint="eastAsia" w:hAnsi="黑体" w:cs="黑体"/>
          <w:b w:val="0"/>
          <w:bCs/>
          <w:i w:val="0"/>
          <w:spacing w:val="0"/>
          <w:sz w:val="32"/>
          <w:szCs w:val="32"/>
          <w:lang w:eastAsia="zh-CN"/>
        </w:rPr>
        <w:t>与职责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val="en-US" w:eastAsia="zh-CN"/>
        </w:rPr>
      </w:pPr>
      <w:bookmarkStart w:id="4" w:name="12230ed5-f04b-41d4-a3d2-1d53afc09eed"/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val="en-US" w:eastAsia="zh-CN"/>
        </w:rPr>
        <w:t xml:space="preserve">    </w:t>
      </w:r>
      <w:r>
        <w:rPr>
          <w:rFonts w:hint="eastAsia" w:ascii="楷体" w:hAnsi="楷体" w:eastAsia="楷体" w:cs="楷体"/>
          <w:b w:val="0"/>
          <w:bCs/>
          <w:i w:val="0"/>
          <w:spacing w:val="0"/>
          <w:sz w:val="32"/>
          <w:szCs w:val="32"/>
          <w:lang w:val="en-US" w:eastAsia="zh-CN"/>
        </w:rPr>
        <w:t xml:space="preserve">第三条  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val="en-US" w:eastAsia="zh-CN"/>
        </w:rPr>
        <w:t>严格落实“党政同责、一岗双责、齐抓共管、失职追责”和“管行业必须管安全、管业务必须管安全、管生产经营必须管安全”要求，平台基地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依托建设单位是平台安全工作的责任主体，需统筹协调平台基地安全工作，要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逐级明确安全责任人，压实各级安全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管理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责任，做到定责到岗、明责到人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，健全安全培训与准入制度，定期组织安全隐患排查。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val="en-US" w:eastAsia="zh-CN"/>
        </w:rPr>
        <w:t xml:space="preserve">    </w:t>
      </w:r>
      <w:r>
        <w:rPr>
          <w:rFonts w:hint="eastAsia" w:ascii="楷体" w:hAnsi="楷体" w:eastAsia="楷体" w:cs="楷体"/>
          <w:b w:val="0"/>
          <w:bCs/>
          <w:i w:val="0"/>
          <w:spacing w:val="0"/>
          <w:sz w:val="32"/>
          <w:szCs w:val="32"/>
          <w:lang w:val="en-US" w:eastAsia="zh-CN"/>
        </w:rPr>
        <w:t xml:space="preserve">第四条  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平台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基地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负责人是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平台基地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安全管理第一责任人，对平台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基地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安全生产工作全面负责</w:t>
      </w:r>
      <w:bookmarkEnd w:id="4"/>
      <w:bookmarkStart w:id="5" w:name="85c5c31d-9d80-4b8e-b753-e273bb11b1dc"/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val="en-US" w:eastAsia="zh-CN"/>
        </w:rPr>
        <w:t>要细化落实各项安全管理要求，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建立安全管理台账，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编制应急预案，组织开展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日常巡查、隐患整改、培训演练等工作。</w:t>
      </w:r>
      <w:bookmarkEnd w:id="5"/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="0" w:leftChars="0" w:right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6" w:name="b11ed31a7b52437e971bd4a53a5e69c3"/>
      <w:r>
        <w:rPr>
          <w:rFonts w:hint="eastAsia" w:hAnsi="黑体" w:cs="黑体"/>
          <w:b w:val="0"/>
          <w:bCs/>
          <w:i w:val="0"/>
          <w:spacing w:val="0"/>
          <w:sz w:val="32"/>
          <w:szCs w:val="32"/>
          <w:lang w:eastAsia="zh-CN"/>
        </w:rPr>
        <w:t>第三章</w:t>
      </w:r>
      <w:r>
        <w:rPr>
          <w:rFonts w:hint="eastAsia" w:hAnsi="黑体" w:cs="黑体"/>
          <w:b w:val="0"/>
          <w:bCs/>
          <w:i w:val="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/>
          <w:i w:val="0"/>
          <w:spacing w:val="0"/>
          <w:sz w:val="32"/>
          <w:szCs w:val="32"/>
        </w:rPr>
        <w:t>日常巡查与隐患排查</w:t>
      </w:r>
      <w:bookmarkEnd w:id="6"/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Chars="0" w:right="0" w:rightChars="0"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</w:pPr>
      <w:bookmarkStart w:id="7" w:name="05be1699-50db-4587-bb2e-a590b32bf0d1"/>
      <w:r>
        <w:rPr>
          <w:rFonts w:hint="eastAsia" w:ascii="楷体" w:hAnsi="楷体" w:eastAsia="楷体" w:cs="楷体"/>
          <w:b w:val="0"/>
          <w:bCs/>
          <w:i w:val="0"/>
          <w:spacing w:val="0"/>
          <w:sz w:val="32"/>
          <w:szCs w:val="32"/>
          <w:lang w:val="en-US" w:eastAsia="zh-CN"/>
        </w:rPr>
        <w:t xml:space="preserve">第五条  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落实常态化高频巡查巡检制度，每日对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科研实验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场所进行安全巡查，重点检查以下内容：</w:t>
      </w:r>
      <w:bookmarkEnd w:id="7"/>
      <w:bookmarkStart w:id="8" w:name="f63e279f-ab2a-48ce-98d5-655bfc1ae6d4"/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Chars="0" w:right="0" w:rightChars="0"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水、电、气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、暖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线路是否正常</w:t>
      </w:r>
      <w:bookmarkEnd w:id="8"/>
      <w:bookmarkStart w:id="9" w:name="e070863d-8b08-42f4-adf1-daaa4abd49c0"/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；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Chars="0" w:right="0" w:rightChars="0"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消防器材设施是否完好有效，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疏散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通道是否畅通</w:t>
      </w:r>
      <w:bookmarkEnd w:id="9"/>
      <w:bookmarkStart w:id="10" w:name="fe81010f-b6a3-4ae1-a23e-449fec61df7b"/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；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Chars="0" w:right="0" w:rightChars="0"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危化品存储和使用是否规范</w:t>
      </w:r>
      <w:bookmarkEnd w:id="10"/>
      <w:bookmarkStart w:id="11" w:name="7bb150db-5a01-4b57-8b2a-6430d70933e6"/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；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Chars="0" w:right="0" w:rightChars="0"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仪器设备运行状态是否正常</w:t>
      </w:r>
      <w:bookmarkEnd w:id="11"/>
      <w:bookmarkStart w:id="12" w:name="b986833b-f93a-4709-bc31-87a5c8520571"/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特别是高温高压、涉危涉腐、老旧故障等危险性较大的设备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；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Chars="0" w:right="0" w:rightChars="0"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（五）科研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人员是否遵守操作规程</w:t>
      </w:r>
      <w:bookmarkEnd w:id="12"/>
      <w:bookmarkStart w:id="13" w:name="f7e3d3da-720d-4ae2-882f-6f732e5d59ae"/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Chars="0" w:right="0" w:rightChars="0"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楷体" w:hAnsi="楷体" w:eastAsia="楷体" w:cs="楷体"/>
          <w:b w:val="0"/>
          <w:bCs/>
          <w:i w:val="0"/>
          <w:spacing w:val="0"/>
          <w:sz w:val="32"/>
          <w:szCs w:val="32"/>
          <w:lang w:val="en-US" w:eastAsia="zh-CN"/>
        </w:rPr>
        <w:t xml:space="preserve">第六条  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对排查出的安全隐患，做到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立即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反馈、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及时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整改、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跟踪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复核，确保全流程闭环。</w:t>
      </w:r>
      <w:bookmarkEnd w:id="13"/>
      <w:bookmarkStart w:id="14" w:name="ec656446-9bc2-450c-951b-d33ebf9249c0"/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重大安全隐患一经发现须立整立改，未落实安全保障前不得开展相关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科研实验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。</w:t>
      </w:r>
      <w:bookmarkEnd w:id="14"/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="0" w:leftChars="0" w:right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/>
          <w:i w:val="0"/>
          <w:spacing w:val="0"/>
          <w:sz w:val="32"/>
          <w:szCs w:val="32"/>
        </w:rPr>
      </w:pPr>
      <w:bookmarkStart w:id="15" w:name="eb06c1a4b9e244e3b0b9e1737267aeaa"/>
      <w:r>
        <w:rPr>
          <w:rFonts w:hint="eastAsia" w:hAnsi="黑体" w:cs="黑体"/>
          <w:b w:val="0"/>
          <w:bCs/>
          <w:i w:val="0"/>
          <w:spacing w:val="0"/>
          <w:sz w:val="32"/>
          <w:szCs w:val="32"/>
          <w:lang w:eastAsia="zh-CN"/>
        </w:rPr>
        <w:t>第四章</w:t>
      </w:r>
      <w:r>
        <w:rPr>
          <w:rFonts w:hint="eastAsia" w:hAnsi="黑体" w:cs="黑体"/>
          <w:b w:val="0"/>
          <w:bCs/>
          <w:i w:val="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/>
          <w:i w:val="0"/>
          <w:spacing w:val="0"/>
          <w:sz w:val="32"/>
          <w:szCs w:val="32"/>
        </w:rPr>
        <w:t>危化品全流程管控</w:t>
      </w:r>
      <w:bookmarkEnd w:id="15"/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</w:pPr>
      <w:bookmarkStart w:id="16" w:name="86b3f1e455de40e7824589ac0fab2493"/>
      <w:r>
        <w:rPr>
          <w:rFonts w:hint="eastAsia" w:ascii="楷体" w:hAnsi="楷体" w:eastAsia="楷体" w:cs="楷体"/>
          <w:b w:val="0"/>
          <w:bCs/>
          <w:i w:val="0"/>
          <w:spacing w:val="0"/>
          <w:sz w:val="32"/>
          <w:szCs w:val="32"/>
          <w:lang w:val="en-US" w:eastAsia="zh-CN"/>
        </w:rPr>
        <w:t xml:space="preserve">第七条  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对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剧毒化学品、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易制毒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化学品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、易制爆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化学品、麻醉药品、精神药品等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危险化学品，从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采购、储存、领用、使用、回收及处置实施全流程管理，确保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危险化学品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来源可追溯、去向可追踪。</w:t>
      </w:r>
      <w:bookmarkEnd w:id="16"/>
      <w:bookmarkStart w:id="17" w:name="52918c82-b5e2-4677-9757-913deb7194cf"/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/>
          <w:i w:val="0"/>
          <w:spacing w:val="0"/>
          <w:sz w:val="32"/>
          <w:szCs w:val="32"/>
          <w:lang w:val="en-US" w:eastAsia="zh-CN"/>
        </w:rPr>
        <w:t xml:space="preserve">第八条  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危险气体、动物及病原微生物、辐射源及射线装置、同位素及核材料、危险性机械加工装置、强电磁与激光设备、特种设备及锂电池等需严格按照规范要求进行管理使用。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="0" w:leftChars="0" w:right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/>
          <w:i w:val="0"/>
          <w:spacing w:val="0"/>
          <w:sz w:val="32"/>
          <w:szCs w:val="32"/>
        </w:rPr>
      </w:pPr>
      <w:bookmarkStart w:id="18" w:name="2922abeeeb604353858b77620e763d21"/>
      <w:r>
        <w:rPr>
          <w:rFonts w:hint="eastAsia" w:hAnsi="黑体" w:cs="黑体"/>
          <w:b w:val="0"/>
          <w:bCs/>
          <w:i w:val="0"/>
          <w:spacing w:val="0"/>
          <w:sz w:val="32"/>
          <w:szCs w:val="32"/>
          <w:lang w:eastAsia="zh-CN"/>
        </w:rPr>
        <w:t>第五章</w:t>
      </w:r>
      <w:r>
        <w:rPr>
          <w:rFonts w:hint="eastAsia" w:hAnsi="黑体" w:cs="黑体"/>
          <w:b w:val="0"/>
          <w:bCs/>
          <w:i w:val="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/>
          <w:i w:val="0"/>
          <w:spacing w:val="0"/>
          <w:sz w:val="32"/>
          <w:szCs w:val="32"/>
        </w:rPr>
        <w:t>生物安全与特种设备管理</w:t>
      </w:r>
      <w:bookmarkEnd w:id="18"/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</w:pPr>
      <w:bookmarkStart w:id="19" w:name="7ea013ad-a95d-41ca-8a09-16683abd181a"/>
      <w:r>
        <w:rPr>
          <w:rFonts w:hint="eastAsia" w:ascii="楷体" w:hAnsi="楷体" w:eastAsia="楷体" w:cs="楷体"/>
          <w:b w:val="0"/>
          <w:bCs/>
          <w:i w:val="0"/>
          <w:spacing w:val="0"/>
          <w:sz w:val="32"/>
          <w:szCs w:val="32"/>
          <w:lang w:val="en-US" w:eastAsia="zh-CN"/>
        </w:rPr>
        <w:t xml:space="preserve">第九条  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严格执行实验动物生物安全相关政策法规，建立监管和检查登记制度，加强全流程监测防控。</w:t>
      </w:r>
      <w:bookmarkEnd w:id="19"/>
      <w:bookmarkStart w:id="20" w:name="16f328f1-0667-4c71-ac00-29539cebe977"/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</w:pPr>
      <w:r>
        <w:rPr>
          <w:rFonts w:hint="eastAsia" w:ascii="楷体" w:hAnsi="楷体" w:eastAsia="楷体" w:cs="楷体"/>
          <w:b w:val="0"/>
          <w:bCs/>
          <w:i w:val="0"/>
          <w:spacing w:val="0"/>
          <w:sz w:val="32"/>
          <w:szCs w:val="32"/>
          <w:lang w:val="en-US" w:eastAsia="zh-CN"/>
        </w:rPr>
        <w:t xml:space="preserve">第十条  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完善实验动物疫情应急预案，发生疫情时立即采取隔离、消毒等措施，防止扩散。</w:t>
      </w:r>
      <w:bookmarkEnd w:id="20"/>
      <w:bookmarkStart w:id="21" w:name="c90fae68-640e-4a23-9cfe-d8301f394c68"/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/>
          <w:i w:val="0"/>
          <w:spacing w:val="0"/>
          <w:sz w:val="32"/>
          <w:szCs w:val="32"/>
          <w:lang w:val="en-US" w:eastAsia="zh-CN"/>
        </w:rPr>
        <w:t xml:space="preserve">第十一条  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特种设备须持证操作、定期检验，操作人员须经专业培训合格。</w:t>
      </w:r>
      <w:bookmarkEnd w:id="21"/>
    </w:p>
    <w:bookmarkEnd w:id="17"/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Chars="0" w:right="0" w:rightChars="0"/>
        <w:jc w:val="center"/>
        <w:textAlignment w:val="auto"/>
        <w:rPr>
          <w:rFonts w:hint="eastAsia" w:ascii="黑体" w:hAnsi="黑体" w:eastAsia="黑体" w:cs="黑体"/>
          <w:b w:val="0"/>
          <w:bCs/>
          <w:i w:val="0"/>
          <w:spacing w:val="0"/>
          <w:sz w:val="32"/>
          <w:szCs w:val="32"/>
        </w:rPr>
      </w:pPr>
      <w:bookmarkStart w:id="22" w:name="c5464babe2dd41a38aa7b3c119f10ded"/>
      <w:r>
        <w:rPr>
          <w:rFonts w:hint="eastAsia" w:ascii="黑体" w:hAnsi="黑体" w:eastAsia="黑体" w:cs="黑体"/>
          <w:b w:val="0"/>
          <w:bCs/>
          <w:i w:val="0"/>
          <w:spacing w:val="0"/>
          <w:sz w:val="32"/>
          <w:szCs w:val="32"/>
          <w:lang w:eastAsia="zh-CN"/>
        </w:rPr>
        <w:t>第六章</w:t>
      </w:r>
      <w:r>
        <w:rPr>
          <w:rFonts w:hint="eastAsia" w:ascii="黑体" w:hAnsi="黑体" w:eastAsia="黑体" w:cs="黑体"/>
          <w:b w:val="0"/>
          <w:bCs/>
          <w:i w:val="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/>
          <w:i w:val="0"/>
          <w:spacing w:val="0"/>
          <w:sz w:val="32"/>
          <w:szCs w:val="32"/>
        </w:rPr>
        <w:t>安全教育与准入</w:t>
      </w:r>
      <w:bookmarkEnd w:id="22"/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Chars="0" w:right="0" w:rightChars="0"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</w:pPr>
      <w:bookmarkStart w:id="23" w:name="ef7811e4-57be-4086-b637-7ba840201903"/>
      <w:r>
        <w:rPr>
          <w:rFonts w:hint="eastAsia" w:ascii="楷体" w:hAnsi="楷体" w:eastAsia="楷体" w:cs="楷体"/>
          <w:b w:val="0"/>
          <w:bCs/>
          <w:i w:val="0"/>
          <w:spacing w:val="0"/>
          <w:sz w:val="32"/>
          <w:szCs w:val="32"/>
          <w:lang w:val="en-US" w:eastAsia="zh-CN"/>
        </w:rPr>
        <w:t xml:space="preserve">第十二条  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严格实施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分级分类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安全教育机制，人员须完成安全培训后方可进入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科研实验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场所。</w:t>
      </w:r>
      <w:bookmarkEnd w:id="23"/>
      <w:bookmarkStart w:id="24" w:name="1411fff5-c955-417a-b49c-7422db1ac73a"/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常态化开展安全知识学习、操作规范培训，切实提升全员安全防范与应急处置能力。</w:t>
      </w:r>
      <w:bookmarkEnd w:id="24"/>
      <w:bookmarkStart w:id="25" w:name="4009ff53-1430-4e99-acf7-2c1fc876351c"/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Chars="0" w:right="0" w:rightChars="0"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</w:pPr>
      <w:r>
        <w:rPr>
          <w:rFonts w:hint="eastAsia" w:ascii="楷体" w:hAnsi="楷体" w:eastAsia="楷体" w:cs="楷体"/>
          <w:b w:val="0"/>
          <w:bCs/>
          <w:i w:val="0"/>
          <w:spacing w:val="0"/>
          <w:sz w:val="32"/>
          <w:szCs w:val="32"/>
          <w:lang w:val="en-US" w:eastAsia="zh-CN"/>
        </w:rPr>
        <w:t xml:space="preserve">第十三条  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涉及危险源的科研项目，项目负责人须进行危险源甄别，经安全风险评估后方可开展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科研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实验。</w:t>
      </w:r>
      <w:bookmarkEnd w:id="25"/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</w:pPr>
      <w:bookmarkStart w:id="26" w:name="7c709c701105490ab839b5d96e4a26e7"/>
      <w:r>
        <w:rPr>
          <w:rFonts w:hint="eastAsia" w:ascii="楷体" w:hAnsi="楷体" w:eastAsia="楷体" w:cs="楷体"/>
          <w:b w:val="0"/>
          <w:bCs/>
          <w:i w:val="0"/>
          <w:spacing w:val="0"/>
          <w:sz w:val="32"/>
          <w:szCs w:val="32"/>
          <w:lang w:val="en-US" w:eastAsia="zh-CN"/>
        </w:rPr>
        <w:t xml:space="preserve">第十四条  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涉及危化品、高温高压设备或可能发生剧烈反应的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科研活动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，须提前评估过程风险，配足防护装备及应急消防设施。</w:t>
      </w:r>
      <w:bookmarkEnd w:id="26"/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="0" w:leftChars="0" w:right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/>
          <w:i w:val="0"/>
          <w:spacing w:val="0"/>
          <w:sz w:val="32"/>
          <w:szCs w:val="32"/>
        </w:rPr>
      </w:pPr>
      <w:bookmarkStart w:id="27" w:name="28a99f4cdfb94033a4873df30a0e1091"/>
      <w:r>
        <w:rPr>
          <w:rFonts w:hint="eastAsia" w:hAnsi="黑体" w:cs="黑体"/>
          <w:b w:val="0"/>
          <w:bCs/>
          <w:i w:val="0"/>
          <w:spacing w:val="0"/>
          <w:sz w:val="32"/>
          <w:szCs w:val="32"/>
          <w:lang w:eastAsia="zh-CN"/>
        </w:rPr>
        <w:t>第七章</w:t>
      </w:r>
      <w:r>
        <w:rPr>
          <w:rFonts w:hint="eastAsia" w:hAnsi="黑体" w:cs="黑体"/>
          <w:b w:val="0"/>
          <w:bCs/>
          <w:i w:val="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/>
          <w:i w:val="0"/>
          <w:spacing w:val="0"/>
          <w:sz w:val="32"/>
          <w:szCs w:val="32"/>
        </w:rPr>
        <w:t>应急管理与值班值守</w:t>
      </w:r>
      <w:bookmarkEnd w:id="27"/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Chars="0" w:right="0" w:rightChars="0"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</w:pPr>
      <w:bookmarkStart w:id="28" w:name="2cc83e20-6c8d-4090-912a-4ca3c3f6d5f2"/>
      <w:r>
        <w:rPr>
          <w:rFonts w:hint="eastAsia" w:ascii="楷体" w:hAnsi="楷体" w:eastAsia="楷体" w:cs="楷体"/>
          <w:b w:val="0"/>
          <w:bCs/>
          <w:i w:val="0"/>
          <w:spacing w:val="0"/>
          <w:sz w:val="32"/>
          <w:szCs w:val="32"/>
          <w:lang w:val="en-US" w:eastAsia="zh-CN"/>
        </w:rPr>
        <w:t xml:space="preserve">第十五条  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制定与平台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基地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研究领域特点相匹配的安全事故应急预案，配足应急处置设备和物资。</w:t>
      </w:r>
      <w:bookmarkEnd w:id="28"/>
      <w:bookmarkStart w:id="29" w:name="33c3e15d-1d27-4597-a9fb-d34b41377bb6"/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定期组织应急演练及自救互救培训，确保突发情况下能够迅速有效应对。</w:t>
      </w:r>
      <w:bookmarkEnd w:id="29"/>
      <w:bookmarkStart w:id="30" w:name="25199096-a322-43b7-a966-96345b42c14a"/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Chars="0" w:right="0" w:rightChars="0"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楷体" w:hAnsi="楷体" w:eastAsia="楷体" w:cs="楷体"/>
          <w:b w:val="0"/>
          <w:bCs/>
          <w:i w:val="0"/>
          <w:spacing w:val="0"/>
          <w:sz w:val="32"/>
          <w:szCs w:val="32"/>
          <w:lang w:val="en-US" w:eastAsia="zh-CN"/>
        </w:rPr>
        <w:t xml:space="preserve">第十六条  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节假日、重大活动期间加强巡查值守</w:t>
      </w:r>
      <w:bookmarkEnd w:id="30"/>
      <w:bookmarkStart w:id="31" w:name="45cae585-25e7-4b56-8ced-de5fe494ce03"/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遇突发事件须立即启动应急预案，并及时向上级主管部门报告。</w:t>
      </w:r>
      <w:bookmarkEnd w:id="31"/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="0" w:leftChars="0" w:right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/>
          <w:i w:val="0"/>
          <w:spacing w:val="0"/>
          <w:sz w:val="32"/>
          <w:szCs w:val="32"/>
          <w:lang w:eastAsia="zh-CN"/>
        </w:rPr>
      </w:pPr>
      <w:bookmarkStart w:id="32" w:name="ab2d3112dc5848de872244b03bc20d6a"/>
      <w:r>
        <w:rPr>
          <w:rFonts w:hint="eastAsia" w:hAnsi="黑体" w:cs="黑体"/>
          <w:b w:val="0"/>
          <w:bCs/>
          <w:i w:val="0"/>
          <w:spacing w:val="0"/>
          <w:sz w:val="32"/>
          <w:szCs w:val="32"/>
          <w:lang w:eastAsia="zh-CN"/>
        </w:rPr>
        <w:t>第八章</w:t>
      </w:r>
      <w:r>
        <w:rPr>
          <w:rFonts w:hint="eastAsia" w:hAnsi="黑体" w:cs="黑体"/>
          <w:b w:val="0"/>
          <w:bCs/>
          <w:i w:val="0"/>
          <w:spacing w:val="0"/>
          <w:sz w:val="32"/>
          <w:szCs w:val="32"/>
          <w:lang w:val="en-US" w:eastAsia="zh-CN"/>
        </w:rPr>
        <w:t xml:space="preserve">  </w:t>
      </w:r>
      <w:bookmarkEnd w:id="32"/>
      <w:r>
        <w:rPr>
          <w:rFonts w:hint="eastAsia" w:hAnsi="黑体" w:cs="黑体"/>
          <w:b w:val="0"/>
          <w:bCs/>
          <w:i w:val="0"/>
          <w:spacing w:val="0"/>
          <w:sz w:val="32"/>
          <w:szCs w:val="32"/>
          <w:lang w:val="en-US" w:eastAsia="zh-CN"/>
        </w:rPr>
        <w:t>附 则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Chars="0" w:right="0" w:rightChars="0" w:firstLine="640"/>
        <w:jc w:val="both"/>
        <w:textAlignment w:val="auto"/>
        <w:rPr>
          <w:rFonts w:hint="eastAsia" w:ascii="楷体" w:hAnsi="楷体" w:eastAsia="楷体" w:cs="楷体"/>
          <w:b w:val="0"/>
          <w:bCs/>
          <w:i w:val="0"/>
          <w:spacing w:val="0"/>
          <w:sz w:val="32"/>
          <w:szCs w:val="32"/>
          <w:lang w:val="en-US" w:eastAsia="zh-CN"/>
        </w:rPr>
      </w:pPr>
      <w:bookmarkStart w:id="33" w:name="21036d9e4edc4bd0b0e8105650150017"/>
      <w:bookmarkStart w:id="34" w:name="ee4682de-4292-41a7-8cc7-e2381eaf9ab9"/>
      <w:bookmarkStart w:id="35" w:name="e2292612-f4a9-4368-96cc-526ed020c760"/>
      <w:r>
        <w:rPr>
          <w:rFonts w:hint="eastAsia" w:ascii="楷体" w:hAnsi="楷体" w:eastAsia="楷体" w:cs="楷体"/>
          <w:b w:val="0"/>
          <w:bCs/>
          <w:i w:val="0"/>
          <w:spacing w:val="0"/>
          <w:sz w:val="32"/>
          <w:szCs w:val="32"/>
          <w:lang w:val="en-US" w:eastAsia="zh-CN"/>
        </w:rPr>
        <w:t xml:space="preserve">第十七条  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类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平台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基地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应结合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各自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研究领域、实验类型和设施设备实际，制定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具有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针对性的实施细则，</w:t>
      </w:r>
      <w:bookmarkEnd w:id="33"/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定期评估修订安全管理制度和专项规程。</w:t>
      </w:r>
      <w:bookmarkEnd w:id="34"/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Chars="0" w:right="0" w:rightChars="0"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/>
          <w:i w:val="0"/>
          <w:spacing w:val="0"/>
          <w:sz w:val="32"/>
          <w:szCs w:val="32"/>
          <w:lang w:val="en-US" w:eastAsia="zh-CN"/>
        </w:rPr>
        <w:t xml:space="preserve">第十八条  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val="en-US" w:eastAsia="zh-CN"/>
        </w:rPr>
        <w:t>各平台基地依托单位应制定本单位平台基地安全管理制度，积极有效开展安全管理工作，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动态优化安全管理机制与流程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val="en-US" w:eastAsia="zh-CN"/>
        </w:rPr>
        <w:t>切实加强风险防控，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</w:rPr>
        <w:t>提升防控精准性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val="en-US" w:eastAsia="zh-CN"/>
        </w:rPr>
        <w:t>确保平台基地安全有序运行。</w:t>
      </w:r>
      <w:bookmarkEnd w:id="35"/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eastAsia="zh-CN"/>
        </w:rPr>
        <w:t>因责任落实不力、制度执行不严、措施落地不实造成安全事故的，将依法依规予以追责。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Chars="0" w:right="0" w:rightChars="0"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i w:val="0"/>
          <w:spacing w:val="0"/>
          <w:sz w:val="32"/>
          <w:szCs w:val="32"/>
          <w:lang w:val="en-US" w:eastAsia="zh-CN"/>
        </w:rPr>
        <w:t xml:space="preserve">第十九条  </w:t>
      </w:r>
      <w:bookmarkStart w:id="36" w:name="7131f0c149384006a6fc68ded634d3c9"/>
      <w:bookmarkEnd w:id="36"/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val="en-US" w:eastAsia="zh-CN"/>
        </w:rPr>
        <w:t>本指引由河南省科学技术厅负责解释。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leftChars="0" w:right="0" w:rightChars="0"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highlight w:val="yellow"/>
        </w:rPr>
      </w:pPr>
      <w:r>
        <w:rPr>
          <w:rFonts w:hint="eastAsia" w:ascii="楷体" w:hAnsi="楷体" w:eastAsia="楷体" w:cs="楷体"/>
          <w:b w:val="0"/>
          <w:bCs/>
          <w:i w:val="0"/>
          <w:spacing w:val="0"/>
          <w:sz w:val="32"/>
          <w:szCs w:val="32"/>
          <w:lang w:val="en-US" w:eastAsia="zh-CN"/>
        </w:rPr>
        <w:t xml:space="preserve">第二十条  </w:t>
      </w:r>
      <w:r>
        <w:rPr>
          <w:rFonts w:hint="eastAsia" w:ascii="仿宋_GB2312" w:hAnsi="仿宋_GB2312" w:eastAsia="仿宋_GB2312" w:cs="仿宋_GB2312"/>
          <w:b w:val="0"/>
          <w:bCs/>
          <w:i w:val="0"/>
          <w:spacing w:val="0"/>
          <w:sz w:val="32"/>
          <w:szCs w:val="32"/>
          <w:lang w:val="en-US" w:eastAsia="zh-CN"/>
        </w:rPr>
        <w:t>本指引自印发之日起施行，有效期三年。</w:t>
      </w:r>
    </w:p>
    <w:sectPr>
      <w:footerReference r:id="rId3" w:type="default"/>
      <w:pgSz w:w="11900" w:h="16820"/>
      <w:pgMar w:top="2098" w:right="1474" w:bottom="1814" w:left="1587" w:header="840" w:footer="84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BQAAAAIAIdO4kCzSVju0AAAAAUBAAAPAAAAAAAA&#10;AAEAIAAAADgAAABkcnMvZG93bnJldi54bWxQSwECFAAUAAAACACHTuJAa4X5+zECAABhBAAADgAA&#10;AAAAAAABACAAAAA1AQAAZHJzL2Uyb0RvYy54bWxQSwECFAAKAAAAAACHTuJAAAAAAAAAAAAAAAAA&#10;BAAAAAAAAAAAABAAAAAWAAAAZHJzL1BLAQIUAAoAAAAAAIdO4kAAAAAAAAAAAAAAAAAGAAAAAAAA&#10;AAAAEAAAAJIDAABfcmVscy9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lTrailSpace/>
    <w:useFELayout/>
    <w:compatSetting w:name="compatibilityMode" w:uri="http://schemas.microsoft.com/office/word" w:val="15"/>
  </w:compat>
  <w:rsids>
    <w:rsidRoot w:val="00000000"/>
    <w:rsid w:val="03DF7B1A"/>
    <w:rsid w:val="06FF0154"/>
    <w:rsid w:val="176FCCF9"/>
    <w:rsid w:val="17F5D3C9"/>
    <w:rsid w:val="19970FC8"/>
    <w:rsid w:val="19DD0C89"/>
    <w:rsid w:val="1BCE9BF0"/>
    <w:rsid w:val="2BFF7F3F"/>
    <w:rsid w:val="2F7FA457"/>
    <w:rsid w:val="35DF6A40"/>
    <w:rsid w:val="367F125E"/>
    <w:rsid w:val="37F4497A"/>
    <w:rsid w:val="37FC8F1D"/>
    <w:rsid w:val="38D27132"/>
    <w:rsid w:val="3BB5C60A"/>
    <w:rsid w:val="3BBF834F"/>
    <w:rsid w:val="3EA99296"/>
    <w:rsid w:val="3EDB769E"/>
    <w:rsid w:val="3EFBC714"/>
    <w:rsid w:val="3F35F5A2"/>
    <w:rsid w:val="3F9C5D93"/>
    <w:rsid w:val="3FBB1271"/>
    <w:rsid w:val="3FBD1C88"/>
    <w:rsid w:val="4AFFEA39"/>
    <w:rsid w:val="4BE4E9F2"/>
    <w:rsid w:val="55E908F3"/>
    <w:rsid w:val="577F41B2"/>
    <w:rsid w:val="57B7DA44"/>
    <w:rsid w:val="58E92363"/>
    <w:rsid w:val="597EEDB9"/>
    <w:rsid w:val="59FD3A1D"/>
    <w:rsid w:val="5CFD603A"/>
    <w:rsid w:val="5EBB627A"/>
    <w:rsid w:val="5F9F4682"/>
    <w:rsid w:val="5FFA5F1D"/>
    <w:rsid w:val="5FFD6B0F"/>
    <w:rsid w:val="6361EF1D"/>
    <w:rsid w:val="65674770"/>
    <w:rsid w:val="66EDEAD6"/>
    <w:rsid w:val="66F35E67"/>
    <w:rsid w:val="6717A7D5"/>
    <w:rsid w:val="677F77D6"/>
    <w:rsid w:val="6BB3A54E"/>
    <w:rsid w:val="6D49CAA3"/>
    <w:rsid w:val="6D778EFB"/>
    <w:rsid w:val="6ED75C64"/>
    <w:rsid w:val="6EF5F5BF"/>
    <w:rsid w:val="6FBBA636"/>
    <w:rsid w:val="6FBF262E"/>
    <w:rsid w:val="6FCC36A8"/>
    <w:rsid w:val="73FC415D"/>
    <w:rsid w:val="73FF1013"/>
    <w:rsid w:val="75F72588"/>
    <w:rsid w:val="76DC5227"/>
    <w:rsid w:val="77CFB1CC"/>
    <w:rsid w:val="77D72A4A"/>
    <w:rsid w:val="77F59CF6"/>
    <w:rsid w:val="77FF0139"/>
    <w:rsid w:val="7AFB0867"/>
    <w:rsid w:val="7BBA6E57"/>
    <w:rsid w:val="7BDD9AF7"/>
    <w:rsid w:val="7BDDDC0B"/>
    <w:rsid w:val="7BF60049"/>
    <w:rsid w:val="7CF5DC56"/>
    <w:rsid w:val="7DEDFA71"/>
    <w:rsid w:val="7DFF3759"/>
    <w:rsid w:val="7E5332CF"/>
    <w:rsid w:val="7E7DCAE3"/>
    <w:rsid w:val="7F3FEFB3"/>
    <w:rsid w:val="7F6B5ED7"/>
    <w:rsid w:val="7F6B8A9E"/>
    <w:rsid w:val="7F7E6D4B"/>
    <w:rsid w:val="7F7FEE71"/>
    <w:rsid w:val="7FA231BB"/>
    <w:rsid w:val="7FB76683"/>
    <w:rsid w:val="7FEF2278"/>
    <w:rsid w:val="7FFB85B2"/>
    <w:rsid w:val="7FFF031D"/>
    <w:rsid w:val="87EE0267"/>
    <w:rsid w:val="8DF2E284"/>
    <w:rsid w:val="8DF56B2E"/>
    <w:rsid w:val="97BFC72C"/>
    <w:rsid w:val="97D7029F"/>
    <w:rsid w:val="97DDE275"/>
    <w:rsid w:val="97E2B219"/>
    <w:rsid w:val="9EB6C399"/>
    <w:rsid w:val="A1FBD8BC"/>
    <w:rsid w:val="A7BD05AC"/>
    <w:rsid w:val="ADFFFFC8"/>
    <w:rsid w:val="AFCB84E3"/>
    <w:rsid w:val="AFFF6791"/>
    <w:rsid w:val="B3D7A18A"/>
    <w:rsid w:val="B4F79153"/>
    <w:rsid w:val="B7EB837F"/>
    <w:rsid w:val="BAFFA427"/>
    <w:rsid w:val="BBFDBAE3"/>
    <w:rsid w:val="BBFFA01E"/>
    <w:rsid w:val="BBFFEB99"/>
    <w:rsid w:val="BCFB29C3"/>
    <w:rsid w:val="BDBF6045"/>
    <w:rsid w:val="BDFB10AC"/>
    <w:rsid w:val="BF3B6082"/>
    <w:rsid w:val="BFF72B41"/>
    <w:rsid w:val="C7FF91F6"/>
    <w:rsid w:val="CD6A9533"/>
    <w:rsid w:val="CF5E890D"/>
    <w:rsid w:val="CF7F0875"/>
    <w:rsid w:val="D3FDDB24"/>
    <w:rsid w:val="D6EDDD97"/>
    <w:rsid w:val="DA7DD762"/>
    <w:rsid w:val="DACA645B"/>
    <w:rsid w:val="DBD7E0D5"/>
    <w:rsid w:val="DBE381B7"/>
    <w:rsid w:val="DD776529"/>
    <w:rsid w:val="DDFF70EB"/>
    <w:rsid w:val="DDFFD72B"/>
    <w:rsid w:val="DE3F5EBA"/>
    <w:rsid w:val="DEFB108C"/>
    <w:rsid w:val="DF7BE780"/>
    <w:rsid w:val="DFB57FE6"/>
    <w:rsid w:val="DFB5BF37"/>
    <w:rsid w:val="DFB74ACA"/>
    <w:rsid w:val="DFD73C84"/>
    <w:rsid w:val="DFE7BE30"/>
    <w:rsid w:val="DFFB2DC0"/>
    <w:rsid w:val="E39B79AA"/>
    <w:rsid w:val="E3FCBF29"/>
    <w:rsid w:val="E5EA0C09"/>
    <w:rsid w:val="E75CAC42"/>
    <w:rsid w:val="E7BEF56F"/>
    <w:rsid w:val="EADE873E"/>
    <w:rsid w:val="ED5B3061"/>
    <w:rsid w:val="EDFA4B85"/>
    <w:rsid w:val="EEF273E3"/>
    <w:rsid w:val="EF7ABBDA"/>
    <w:rsid w:val="EF95B1A5"/>
    <w:rsid w:val="EFDFA8E2"/>
    <w:rsid w:val="EFDFC9CA"/>
    <w:rsid w:val="EFFD5133"/>
    <w:rsid w:val="EFFF6C34"/>
    <w:rsid w:val="F31FA74E"/>
    <w:rsid w:val="F4DB8F57"/>
    <w:rsid w:val="F6EEB3DB"/>
    <w:rsid w:val="F7155296"/>
    <w:rsid w:val="F75DA745"/>
    <w:rsid w:val="F76FB614"/>
    <w:rsid w:val="F7B47F3F"/>
    <w:rsid w:val="F7EEA279"/>
    <w:rsid w:val="F93257E7"/>
    <w:rsid w:val="F97FD858"/>
    <w:rsid w:val="FA7C7D35"/>
    <w:rsid w:val="FB77AFDF"/>
    <w:rsid w:val="FBD3701A"/>
    <w:rsid w:val="FBE7438A"/>
    <w:rsid w:val="FBF9DA18"/>
    <w:rsid w:val="FC7C3E44"/>
    <w:rsid w:val="FCB95639"/>
    <w:rsid w:val="FD5E7E56"/>
    <w:rsid w:val="FD5E7E59"/>
    <w:rsid w:val="FDDABC04"/>
    <w:rsid w:val="FDF981B1"/>
    <w:rsid w:val="FDFD804E"/>
    <w:rsid w:val="FDFFEB5F"/>
    <w:rsid w:val="FE3FA6E8"/>
    <w:rsid w:val="FE6F1224"/>
    <w:rsid w:val="FE732B80"/>
    <w:rsid w:val="FE97815F"/>
    <w:rsid w:val="FEBF7DA4"/>
    <w:rsid w:val="FED38010"/>
    <w:rsid w:val="FEFC371B"/>
    <w:rsid w:val="FF145B7C"/>
    <w:rsid w:val="FF6B4B6D"/>
    <w:rsid w:val="FF6BA8D3"/>
    <w:rsid w:val="FF6CB878"/>
    <w:rsid w:val="FF7F8A66"/>
    <w:rsid w:val="FF8F70E7"/>
    <w:rsid w:val="FF8F968C"/>
    <w:rsid w:val="FFE9DCA6"/>
    <w:rsid w:val="FFEDD7B8"/>
    <w:rsid w:val="FFF13597"/>
    <w:rsid w:val="FFF57449"/>
    <w:rsid w:val="FFF734DD"/>
    <w:rsid w:val="FFFF3B6B"/>
    <w:rsid w:val="FFFFC9D8"/>
    <w:rsid w:val="FFFFCC2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全文一级大标题"/>
    <w:qFormat/>
    <w:uiPriority w:val="1"/>
    <w:pPr>
      <w:spacing w:line="640" w:lineRule="exact"/>
      <w:ind w:left="0" w:right="0"/>
      <w:jc w:val="center"/>
    </w:pPr>
    <w:rPr>
      <w:rFonts w:ascii="黑体" w:eastAsia="黑体" w:hAnsiTheme="minorHAnsi" w:cstheme="minorBidi"/>
      <w:b/>
      <w:sz w:val="44"/>
      <w:szCs w:val="22"/>
    </w:rPr>
  </w:style>
  <w:style w:type="paragraph" w:customStyle="1" w:styleId="6">
    <w:name w:val="正文一级标题"/>
    <w:qFormat/>
    <w:uiPriority w:val="1"/>
    <w:pPr>
      <w:spacing w:line="560" w:lineRule="exact"/>
      <w:ind w:left="0" w:right="0" w:firstLine="720"/>
      <w:jc w:val="both"/>
    </w:pPr>
    <w:rPr>
      <w:rFonts w:ascii="黑体" w:eastAsia="黑体" w:hAnsiTheme="minorHAnsi" w:cstheme="minorBidi"/>
      <w:b/>
      <w:sz w:val="36"/>
      <w:szCs w:val="22"/>
    </w:rPr>
  </w:style>
  <w:style w:type="paragraph" w:customStyle="1" w:styleId="7">
    <w:name w:val="正文 文本"/>
    <w:qFormat/>
    <w:uiPriority w:val="1"/>
    <w:pPr>
      <w:spacing w:line="560" w:lineRule="exact"/>
      <w:ind w:left="0" w:right="0" w:firstLine="640"/>
      <w:jc w:val="both"/>
    </w:pPr>
    <w:rPr>
      <w:rFonts w:ascii="宋体" w:eastAsia="宋体" w:hAnsiTheme="minorHAnsi" w:cstheme="minorBidi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32</TotalTime>
  <ScaleCrop>false</ScaleCrop>
  <LinksUpToDate>false</LinksUpToDate>
  <Application>WPS Office_11.8.2.1120_F1E327BC-269C-435d-A152-05C5408002CA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2026-09-08T08:14:00Z</dcterms:created>
  <dc:creator>Apache POI</dc:creator>
  <cp:lastModifiedBy> </cp:lastModifiedBy>
  <dcterms:modified xsi:type="dcterms:W3CDTF">2026-09-28T09:35:16Z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001191440101MA9Y9T4H7A00000","Label":"1","ReservedCode1":"qoz/IRS4V4i+IrqVNpUhcVKbBSiT7vv0JmUHNOc+DT8=","ProduceID":"doc_sgs:68f1d3f5-525b-4c9d-be47-1e3c479820de","ReservedCode2":"qoz/IRS4V4i+IrqVNpUhcVKbBSiT7vv0JmUHNOc+DT8=","PropagateID":"doc_sgs:68f1d3f5-525b-4c9d-be47-1e3c479820de","ContentProducer":"001191440101MA9Y9T4H7A00000"}</vt:lpwstr>
  </property>
  <property fmtid="{D5CDD505-2E9C-101B-9397-08002B2CF9AE}" pid="3" name="KSOProductBuildVer">
    <vt:lpwstr>2052-11.8.2.1120</vt:lpwstr>
  </property>
  <property fmtid="{D5CDD505-2E9C-101B-9397-08002B2CF9AE}" pid="4" name="ICV">
    <vt:lpwstr>3EFDF9E6ACD2F79DD80D9A6AB2A8B9BE</vt:lpwstr>
  </property>
</Properties>
</file>