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/>
        <w:jc w:val="both"/>
        <w:rPr>
          <w:rFonts w:hint="default"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/>
          <w:sz w:val="32"/>
          <w:szCs w:val="32"/>
        </w:rPr>
        <w:t>件</w:t>
      </w:r>
    </w:p>
    <w:p>
      <w:pPr>
        <w:pStyle w:val="2"/>
        <w:spacing w:line="580" w:lineRule="exact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80" w:lineRule="exac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年度拟认定技术先进型服务企业名单</w:t>
      </w:r>
    </w:p>
    <w:tbl>
      <w:tblPr>
        <w:tblStyle w:val="3"/>
        <w:tblW w:w="1431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3896"/>
        <w:gridCol w:w="2430"/>
        <w:gridCol w:w="1785"/>
        <w:gridCol w:w="519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tblHeader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申报地区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内资/外资</w:t>
            </w:r>
          </w:p>
        </w:tc>
        <w:tc>
          <w:tcPr>
            <w:tcW w:w="5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从事业务类型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吉客印(郑州)数字科技有限公司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信息技术外包服务(ITO)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郑州伊赛尔科技有限公司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信息技术外包服务(ITO)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郑州初卓网络科技有限公司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郑州市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技术性业务流程外包服务(BPO)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技术性知识流程外包服务(KPO)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郑州丹骏数字科技有限公司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郑州市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信息技术外包服务(ITO)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河南江舸云科技有限公司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郑州市高新区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信息技术外包服务(ITO)</w:t>
            </w:r>
          </w:p>
          <w:p>
            <w:pPr>
              <w:widowControl/>
              <w:adjustRightInd w:val="0"/>
              <w:spacing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技术性业务流程外包服务(BPO)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许昌市中创信息技术有限公司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许昌市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信息技术外包服务(ITO)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许昌龙祁电子商务有限公司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许昌市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技术性业务流程外包服务(BPO)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漯河泰格医药科技有限公司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漯河市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before="0"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内资</w:t>
            </w:r>
          </w:p>
        </w:tc>
        <w:tc>
          <w:tcPr>
            <w:tcW w:w="5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技术性知识流程外包服务(KPO)</w:t>
            </w:r>
          </w:p>
        </w:tc>
      </w:tr>
    </w:tbl>
    <w:p>
      <w:pPr>
        <w:pStyle w:val="2"/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F0E8F"/>
    <w:rsid w:val="0CBE021A"/>
    <w:rsid w:val="368D5265"/>
    <w:rsid w:val="64C50B22"/>
    <w:rsid w:val="66CF0E8F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napToGrid w:val="0"/>
      <w:spacing w:before="0" w:after="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2026-09-29T10:13:00Z</dcterms:created>
  <dc:creator>Administrator</dc:creator>
  <cp:lastModifiedBy>Administrator</cp:lastModifiedBy>
  <dcterms:modified xsi:type="dcterms:W3CDTF">2026-09-29T10:13:57Z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